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37" w:rsidRPr="00F44298" w:rsidRDefault="00F44298" w:rsidP="00F442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4298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F44298" w:rsidRPr="00F44298" w:rsidRDefault="00F44298" w:rsidP="00F442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4298">
        <w:rPr>
          <w:rFonts w:ascii="Times New Roman" w:hAnsi="Times New Roman" w:cs="Times New Roman"/>
          <w:b/>
          <w:sz w:val="24"/>
          <w:szCs w:val="24"/>
        </w:rPr>
        <w:t>do wniosku o wybór LSR</w:t>
      </w:r>
    </w:p>
    <w:p w:rsidR="00F44298" w:rsidRPr="00F44298" w:rsidRDefault="00F44298" w:rsidP="00F442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4298" w:rsidRPr="00F44298" w:rsidRDefault="00F44298" w:rsidP="00F442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98">
        <w:rPr>
          <w:rFonts w:ascii="Times New Roman" w:hAnsi="Times New Roman" w:cs="Times New Roman"/>
          <w:b/>
          <w:sz w:val="24"/>
          <w:szCs w:val="24"/>
        </w:rPr>
        <w:t>PLAN KOMUNIKACJI Z LOKALNĄ SPOŁECZNOŚCIĄ</w:t>
      </w:r>
    </w:p>
    <w:p w:rsidR="00F44298" w:rsidRDefault="00F44298" w:rsidP="00F442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4298" w:rsidRDefault="00F44298" w:rsidP="00396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komunikacji </w:t>
      </w:r>
      <w:r w:rsidR="00A91ED1">
        <w:rPr>
          <w:rFonts w:ascii="Times New Roman" w:hAnsi="Times New Roman" w:cs="Times New Roman"/>
          <w:sz w:val="24"/>
          <w:szCs w:val="24"/>
        </w:rPr>
        <w:t>z lokalną społecznością na lata 2021-2027 jest dokumentem określającym reguły prowadzenia działań informacyjno-promocyjnych przez Lokalną Grupę Działania Stowarzyszenie „Wielkopolska Wschodnia” (LGD) w odniesieniu do wszystkich funduszy EFSI finansujących Lokalną Strategię Rozwoju (LSR).</w:t>
      </w:r>
    </w:p>
    <w:p w:rsidR="00A91ED1" w:rsidRDefault="00A91ED1" w:rsidP="003965B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procesie przygotowania Planu komunikacji uczestniczyli przedstawiciele wszystkich sektorów partnerskich LGD. Opis procesu tworzenia Planu został ujęty w rozdzia</w:t>
      </w:r>
      <w:r w:rsidR="003965B2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III. Partycypacyjny charakter LSR. W tworzeniu dokumentu wykorzystano ró</w:t>
      </w:r>
      <w:r w:rsidR="003965B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nież doświadczenia z okresu 2014-2020. Dobra komunikacja jest konieczna, aby sprawnie i dobrze wdrażać LSR.</w:t>
      </w:r>
    </w:p>
    <w:p w:rsidR="00A91ED1" w:rsidRDefault="00A91ED1" w:rsidP="00A91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ED1" w:rsidRPr="003965B2" w:rsidRDefault="00A91ED1" w:rsidP="003965B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65B2">
        <w:rPr>
          <w:rFonts w:ascii="Times New Roman" w:hAnsi="Times New Roman" w:cs="Times New Roman"/>
          <w:b/>
          <w:i/>
          <w:sz w:val="24"/>
          <w:szCs w:val="24"/>
          <w:u w:val="single"/>
        </w:rPr>
        <w:t>Prezentacja gł</w:t>
      </w:r>
      <w:r w:rsidR="003965B2" w:rsidRPr="003965B2">
        <w:rPr>
          <w:rFonts w:ascii="Times New Roman" w:hAnsi="Times New Roman" w:cs="Times New Roman"/>
          <w:b/>
          <w:i/>
          <w:sz w:val="24"/>
          <w:szCs w:val="24"/>
          <w:u w:val="single"/>
        </w:rPr>
        <w:t>ó</w:t>
      </w:r>
      <w:r w:rsidRPr="003965B2">
        <w:rPr>
          <w:rFonts w:ascii="Times New Roman" w:hAnsi="Times New Roman" w:cs="Times New Roman"/>
          <w:b/>
          <w:i/>
          <w:sz w:val="24"/>
          <w:szCs w:val="24"/>
          <w:u w:val="single"/>
        </w:rPr>
        <w:t>wnych celów i przesłanek leżących u podstaw opracowania Planu komunikacji</w:t>
      </w:r>
    </w:p>
    <w:p w:rsidR="003965B2" w:rsidRDefault="003965B2" w:rsidP="0070751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głównych celów Planu komunikacji należą:</w:t>
      </w:r>
    </w:p>
    <w:p w:rsidR="003965B2" w:rsidRDefault="003965B2" w:rsidP="0070751C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spójnego, przejrzystego, jednolitego i pozytywnego wizerunku LGD,</w:t>
      </w:r>
    </w:p>
    <w:p w:rsidR="003965B2" w:rsidRDefault="003965B2" w:rsidP="0070751C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wiedzy mieszkańców na temat założeń LSR,</w:t>
      </w:r>
    </w:p>
    <w:p w:rsidR="003965B2" w:rsidRDefault="003965B2" w:rsidP="0070751C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 stanie realizacji LSR, w tym stopniu osiągania celów, wskaźników oraz informowanie potencjalnych wnioskodawców o zasadach i kryteriach udzielania wsparcia w ramach wdrażania LSR,</w:t>
      </w:r>
    </w:p>
    <w:p w:rsidR="003965B2" w:rsidRDefault="003965B2" w:rsidP="0070751C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informacji dot. oceny jakości doradztwa i działań promocyjno-informacyjnych świadczonych przez LGD,</w:t>
      </w:r>
    </w:p>
    <w:p w:rsidR="003965B2" w:rsidRDefault="003965B2" w:rsidP="0070751C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włączenie mieszkańców reprezentujących różne sektory i grupy interesów w proces wdrażania oraz monitoringu i ewaluacji LSR,</w:t>
      </w:r>
    </w:p>
    <w:p w:rsidR="003965B2" w:rsidRDefault="003965B2" w:rsidP="0070751C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uwzględnienie grup o</w:t>
      </w:r>
      <w:r w:rsidR="007630BE">
        <w:rPr>
          <w:rFonts w:ascii="Times New Roman" w:hAnsi="Times New Roman" w:cs="Times New Roman"/>
          <w:sz w:val="24"/>
          <w:szCs w:val="24"/>
        </w:rPr>
        <w:t>sób w niekorzystnej sytuacji – kobiet, osób niepełnosprawnych.</w:t>
      </w:r>
    </w:p>
    <w:p w:rsidR="007630BE" w:rsidRDefault="007630BE" w:rsidP="0070751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„Wielkopolska Wschodnia” będzie na bieżąco informować potencjalnych wnioskodawców o konieczności przestrzegania obowiązków komunikacyjnych wynikających z art. 50 ust. 1 rozporządzenia UE 2021/1060, z zasad ko</w:t>
      </w:r>
      <w:r w:rsidR="00C1390D">
        <w:rPr>
          <w:rFonts w:ascii="Times New Roman" w:hAnsi="Times New Roman" w:cs="Times New Roman"/>
          <w:sz w:val="24"/>
          <w:szCs w:val="24"/>
        </w:rPr>
        <w:t>munikacj</w:t>
      </w:r>
      <w:r>
        <w:rPr>
          <w:rFonts w:ascii="Times New Roman" w:hAnsi="Times New Roman" w:cs="Times New Roman"/>
          <w:sz w:val="24"/>
          <w:szCs w:val="24"/>
        </w:rPr>
        <w:t xml:space="preserve">i, zgodnie z informacjami przekazanymi przez LGD oraz IZ, z księgi wizualizacji w zakresie PS WPR oraz z Księgi </w:t>
      </w:r>
      <w:r w:rsidR="00C1390D">
        <w:rPr>
          <w:rFonts w:ascii="Times New Roman" w:hAnsi="Times New Roman" w:cs="Times New Roman"/>
          <w:sz w:val="24"/>
          <w:szCs w:val="24"/>
        </w:rPr>
        <w:t>Tożsamości Wizualnej marki Fundusze Europejskie.</w:t>
      </w:r>
    </w:p>
    <w:p w:rsidR="00C1390D" w:rsidRPr="00C1390D" w:rsidRDefault="00C1390D" w:rsidP="00C1390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390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Opis działań komunikacyjnych i grup docelowych oraz środków przekazu, w tym działań podejmowanych w przypadku problemów z realizacją LSR, niskim poparciu społecznym dla działań realizowanych przez LGD.</w:t>
      </w:r>
    </w:p>
    <w:p w:rsidR="00C1390D" w:rsidRDefault="00C1390D" w:rsidP="00C139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</w:t>
      </w:r>
      <w:r w:rsidR="00A666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dane działania komunikacyjne to: kampania informacyjna dotyczącą obowiązków komunikacyjnych beneficjentów EFSI; kampania informacyjna na temat głównych założeń LSR; spotkania informacyjno-szkoleniowe dotyczące przygotowania, realizacji i rozliczenia operacji; informowania na temat wniosków i sposobów realizacji </w:t>
      </w:r>
      <w:r w:rsidR="00A666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rozliczania projektów; kampania informacyjna na temat terminów przyjmowanych wniosków; badania satysfakcji wnioskodawców i beneficjentów dot. jakości doradztwa świadczonego przez LGD na etapie przygotowania wniosków o wsparcie projektowanych działań oraz rozliczenie realizowanych operacji; kampania informacyjna nt. głównych efektów LSR.</w:t>
      </w:r>
    </w:p>
    <w:p w:rsidR="00C1390D" w:rsidRDefault="00A66655" w:rsidP="00C139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społeczności lokalnych lub wyodrębnionych z niej poszczególnych grup adresatów-interesariuszy w procesie komunikacji będzie możliwie szeroki i co do zasady otwarty. Główną grupą docelową działań komunikacyjnych są potencjalni wnioskodawcy</w:t>
      </w:r>
      <w:r w:rsidR="00D173F2">
        <w:rPr>
          <w:rFonts w:ascii="Times New Roman" w:hAnsi="Times New Roman" w:cs="Times New Roman"/>
          <w:sz w:val="24"/>
          <w:szCs w:val="24"/>
        </w:rPr>
        <w:t xml:space="preserve"> i beneficjenci. Działania komunikacyjne są dobrane zgodnie z ich potrzebami i są wynikiem wniosków z konsultacji społecznych. Główną zasadą komunikacji jest przekazywanie w odpowiednim czasie, z odpowiednim wyprzedzeniem rzetelnej i wystarczającej informacji. W tabeli dla każdego </w:t>
      </w:r>
      <w:r w:rsidR="00D173F2">
        <w:rPr>
          <w:rFonts w:ascii="Times New Roman" w:hAnsi="Times New Roman" w:cs="Times New Roman"/>
          <w:sz w:val="24"/>
          <w:szCs w:val="24"/>
        </w:rPr>
        <w:br/>
        <w:t>z zaplanowanych działań komunikacyjnych wskazano zdefiniowanych adresatów działań.</w:t>
      </w:r>
    </w:p>
    <w:p w:rsidR="00D173F2" w:rsidRDefault="00D173F2" w:rsidP="00C139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przekazu, jakie zostaną u</w:t>
      </w:r>
      <w:r w:rsidR="0070751C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yte w ramach działań komunikacyjnych to: strona internetowa LGD, profil LGD na portalu społecznościowym Facebook, strony internetowe gmin członkowskich, mailing, media o zasięgu lokalnym, spotkania informacyjno-szkoleniowe, ankiety.</w:t>
      </w:r>
    </w:p>
    <w:p w:rsidR="00D173F2" w:rsidRDefault="00D173F2" w:rsidP="00D173F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działania mają wzbudzić zainteresowanie oraz zachęcić potencjalnych wnioskodawców do aplikowania o środki, a tym samym wpływać na zwiększenie liczby zrealizowanych operacji. Celem działań komunikacyjnych jest zwiększenie zaangażowania społ</w:t>
      </w:r>
      <w:r w:rsidR="0070751C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75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ości lokalnej w działalności LGD oraz zwiększenie poparcia społecznego</w:t>
      </w:r>
      <w:r w:rsidR="00584BDB">
        <w:rPr>
          <w:rFonts w:ascii="Times New Roman" w:hAnsi="Times New Roman" w:cs="Times New Roman"/>
          <w:sz w:val="24"/>
          <w:szCs w:val="24"/>
        </w:rPr>
        <w:t xml:space="preserve"> mieszkańców obszaru dla działań zrealizowanych przez LGD. Zaproponowany Plan komunikacji ma za zadanie zlikwidować dotychczasowe niedostatki komunikacyjne, zagwarantować dwustronność przekazu oraz uzyskać informacje zwrotne od mieszkańców.</w:t>
      </w:r>
    </w:p>
    <w:p w:rsidR="0070751C" w:rsidRDefault="0070751C" w:rsidP="00D173F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DB" w:rsidRDefault="00584BDB" w:rsidP="00D173F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problemów z realizacją LSR lub niskim poparciem społecznym dla działalności LGD konieczne będzie wdrożenie środków zaradczych, m.in. przeprowadzenie badań ankietowych oraz przyjmowanie uwag bezpośrednio </w:t>
      </w:r>
      <w:r w:rsidR="007075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Biurze LGD. Po zebraniu uwag LGD będzie zobowiązana do odniesienia się do nich, przygotowania propozycji zmian w LSR (o ile będzie to wynikało z zebranych uwag) oraz ponowne skonsultowanie ich ze społecznością lokalną za pośrednictwem strony internetowej LGD oraz profilu LGD na portalu społecznościowym.</w:t>
      </w:r>
    </w:p>
    <w:p w:rsidR="0070751C" w:rsidRDefault="0070751C" w:rsidP="00707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1C" w:rsidRPr="0070751C" w:rsidRDefault="0070751C" w:rsidP="0070751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751C">
        <w:rPr>
          <w:rFonts w:ascii="Times New Roman" w:hAnsi="Times New Roman" w:cs="Times New Roman"/>
          <w:b/>
          <w:i/>
          <w:sz w:val="24"/>
          <w:szCs w:val="24"/>
          <w:u w:val="single"/>
        </w:rPr>
        <w:t>Opis zakładanych wskaźników realizacji działań komunikacyjnych oraz efektów działań komunikacyjnych</w:t>
      </w:r>
    </w:p>
    <w:p w:rsidR="0070751C" w:rsidRDefault="0070751C" w:rsidP="0070751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Głównymi wskaźnikami</w:t>
      </w:r>
      <w:r w:rsidR="001A45EA">
        <w:rPr>
          <w:rFonts w:ascii="Times New Roman" w:hAnsi="Times New Roman" w:cs="Times New Roman"/>
          <w:sz w:val="24"/>
          <w:szCs w:val="24"/>
        </w:rPr>
        <w:t xml:space="preserve"> służącymi do skwantyfikowania działań komunikacyjnych są:</w:t>
      </w:r>
    </w:p>
    <w:p w:rsidR="001A45EA" w:rsidRDefault="001A45EA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artykułów opublikowanych na stronie internetowej LGD i gmin członkowskich,</w:t>
      </w:r>
    </w:p>
    <w:p w:rsidR="001A45EA" w:rsidRDefault="001A45EA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artykułów opublikowanych na profilu LGD na portalu społ</w:t>
      </w:r>
      <w:r w:rsidR="00FB6D34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z</w:t>
      </w:r>
      <w:r w:rsidR="00FB6D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ościowym,</w:t>
      </w:r>
    </w:p>
    <w:p w:rsidR="001A45EA" w:rsidRDefault="001A45EA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informacji umieszczonych w mediach o zasięgu lokalnym,</w:t>
      </w:r>
    </w:p>
    <w:p w:rsidR="001A45EA" w:rsidRDefault="001A45EA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spotkań informacyjno-szkoleniowych,</w:t>
      </w:r>
    </w:p>
    <w:p w:rsidR="001A45EA" w:rsidRDefault="001A45EA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podmiotó</w:t>
      </w:r>
      <w:r w:rsidR="00FB6D34">
        <w:rPr>
          <w:rFonts w:ascii="Times New Roman" w:hAnsi="Times New Roman" w:cs="Times New Roman"/>
          <w:sz w:val="24"/>
          <w:szCs w:val="24"/>
        </w:rPr>
        <w:t>w/</w:t>
      </w:r>
      <w:r>
        <w:rPr>
          <w:rFonts w:ascii="Times New Roman" w:hAnsi="Times New Roman" w:cs="Times New Roman"/>
          <w:sz w:val="24"/>
          <w:szCs w:val="24"/>
        </w:rPr>
        <w:t>osób, którym udzielono doradztwa,</w:t>
      </w:r>
    </w:p>
    <w:p w:rsidR="001A45EA" w:rsidRDefault="001A45EA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ankiet rozdysponowanych i zebranych przez LGD wśró</w:t>
      </w:r>
      <w:r w:rsidR="00FB6D34">
        <w:rPr>
          <w:rFonts w:ascii="Times New Roman" w:hAnsi="Times New Roman" w:cs="Times New Roman"/>
          <w:sz w:val="24"/>
          <w:szCs w:val="24"/>
        </w:rPr>
        <w:t>d odbiorców usług LGD oraz wśród beneficjentów,</w:t>
      </w:r>
    </w:p>
    <w:p w:rsidR="00FB6D34" w:rsidRDefault="00FB6D34" w:rsidP="00FB6D34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wysłanych wiadomości e-mail.</w:t>
      </w:r>
    </w:p>
    <w:p w:rsidR="00FB6D34" w:rsidRDefault="00FB6D34" w:rsidP="00FB6D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Głównymi efektami działań komunikacyjnych będzie przekazanie informacji oraz podniesienie wiedzy mieszkańców.</w:t>
      </w:r>
    </w:p>
    <w:p w:rsidR="00FB6D34" w:rsidRDefault="00FB6D34" w:rsidP="00FB6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34" w:rsidRPr="00D02D3A" w:rsidRDefault="00FB6D34" w:rsidP="00D02D3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D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Opis sposobu, w jaki będzie analizowana efektywność działań komunikacyjnych </w:t>
      </w:r>
      <w:r w:rsidR="00D02D3A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D02D3A">
        <w:rPr>
          <w:rFonts w:ascii="Times New Roman" w:hAnsi="Times New Roman" w:cs="Times New Roman"/>
          <w:b/>
          <w:i/>
          <w:sz w:val="24"/>
          <w:szCs w:val="24"/>
          <w:u w:val="single"/>
        </w:rPr>
        <w:t>i zastosowanych środków przekazu (w tym tryb korygowania planu komunikacji)</w:t>
      </w:r>
    </w:p>
    <w:p w:rsidR="00D02D3A" w:rsidRDefault="00D02D3A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Efektywność działań komunikacyjnych i zastosowanych środków przekazu będzie analizowana corocznie za pomocą ankiety umieszczonej na stronie internetowej LGD. W przypadku stwierdzenia, że któreś z działań komunikacyjnych nie przynosi pożądanych efektów, przewiduje się zastosowanie działań naprawczych, polegających na modyfikacji nieefektywnych działań lub zastąpieniu ich nowymi.</w:t>
      </w:r>
    </w:p>
    <w:p w:rsidR="00D02D3A" w:rsidRDefault="00D02D3A" w:rsidP="00D02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3A" w:rsidRDefault="00D02D3A" w:rsidP="00D02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3A" w:rsidRDefault="00D02D3A" w:rsidP="00D02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3A" w:rsidRPr="00D02D3A" w:rsidRDefault="00D02D3A" w:rsidP="00D02D3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D3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Indykatywny budżet przewidziany na działania komunikacyjne, ze wskazaniem gł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ó</w:t>
      </w:r>
      <w:r w:rsidRPr="00D02D3A">
        <w:rPr>
          <w:rFonts w:ascii="Times New Roman" w:hAnsi="Times New Roman" w:cs="Times New Roman"/>
          <w:b/>
          <w:i/>
          <w:sz w:val="24"/>
          <w:szCs w:val="24"/>
          <w:u w:val="single"/>
        </w:rPr>
        <w:t>wnych kategorii wydatków</w:t>
      </w:r>
    </w:p>
    <w:p w:rsidR="00D02D3A" w:rsidRDefault="00D02D3A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budżet prowadzonych działań komunikacyjnych został oszacowany na poziomie 6 630,00 EUR, w tym z poszczególnych funduszy: EFRROW – 3 568,00 EUR, </w:t>
      </w:r>
      <w:r>
        <w:rPr>
          <w:rFonts w:ascii="Times New Roman" w:hAnsi="Times New Roman" w:cs="Times New Roman"/>
          <w:sz w:val="24"/>
          <w:szCs w:val="24"/>
        </w:rPr>
        <w:br/>
        <w:t>EFRR – 1 422,00 EUR, EFS+ – 1 640,00 EUR</w:t>
      </w:r>
      <w:r w:rsidR="00EA1F63">
        <w:rPr>
          <w:rFonts w:ascii="Times New Roman" w:hAnsi="Times New Roman" w:cs="Times New Roman"/>
          <w:sz w:val="24"/>
          <w:szCs w:val="24"/>
        </w:rPr>
        <w:t>.</w:t>
      </w: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1F63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EA1F6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1F63" w:rsidRPr="00D02D3A" w:rsidRDefault="00EA1F63" w:rsidP="00D02D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86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26"/>
        <w:gridCol w:w="2116"/>
        <w:gridCol w:w="2173"/>
        <w:gridCol w:w="1985"/>
        <w:gridCol w:w="2826"/>
        <w:gridCol w:w="1710"/>
        <w:gridCol w:w="2126"/>
      </w:tblGrid>
      <w:tr w:rsidR="00CA5258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476A9B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476A9B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303DBE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303DBE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303DBE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303DBE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 w:rsidR="006B5C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A1F63" w:rsidRPr="006B5C1C" w:rsidRDefault="00303DBE" w:rsidP="006B5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E3211A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F63" w:rsidRPr="006B5C1C" w:rsidRDefault="006B5C1C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5C1C">
              <w:rPr>
                <w:rFonts w:ascii="Times New Roman" w:hAnsi="Times New Roman" w:cs="Times New Roman"/>
              </w:rPr>
              <w:t>Poinformowanie potencjalnych wnioskodawców</w:t>
            </w:r>
            <w:r>
              <w:rPr>
                <w:rFonts w:ascii="Times New Roman" w:hAnsi="Times New Roman" w:cs="Times New Roman"/>
              </w:rPr>
              <w:t xml:space="preserve"> o konieczności przestrzegania ob</w:t>
            </w:r>
            <w:r w:rsidR="006F2EAA">
              <w:rPr>
                <w:rFonts w:ascii="Times New Roman" w:hAnsi="Times New Roman" w:cs="Times New Roman"/>
              </w:rPr>
              <w:t>owiązków komunikacyjnych wynikających z art. 50 ust. 1 rozporządzenia UE 2021/1060 oraz zasad komunikacji, zgodnie z informacjami przekazanymi LGD przez IZ oraz księgą wizualizacji w zakresie PS WPR oraz Księgą Tożsamości Wizualnej marki Fundusze Europejskie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F63" w:rsidRPr="006B5C1C" w:rsidRDefault="006F2EAA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Kampania informacyjna dotycząca obowiązków komunikacyjnych beneficjentów EFSI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F63" w:rsidRPr="006B5C1C" w:rsidRDefault="006F2EA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Wszyscy potencjalni wnioskodawcy, </w:t>
            </w:r>
            <w:r w:rsidR="00E3211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szczególności rolnicy, przedsiębiorcy, organizacje pozarządowe </w:t>
            </w:r>
            <w:r w:rsidR="00E3211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mieszkańcy obszaru, grupy osób w niekorzystnej sytuacji, jsfp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F63" w:rsidRPr="006B5C1C" w:rsidRDefault="006F2EA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Informacje </w:t>
            </w:r>
            <w:r w:rsidR="00E3211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na oficjalnej stronie internetowej LGD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F63" w:rsidRPr="00B52F97" w:rsidRDefault="00B52F97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B52F97"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B52F97" w:rsidRDefault="00B52F9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Artykuł zamieszczony na stronie LGD (ilość: 1 szt.), aktualizowany niezwłocznie w przypadku zmiany przepisów dotyczących obowiązków komunikacyjnych</w:t>
            </w:r>
          </w:p>
          <w:p w:rsidR="00B52F97" w:rsidRDefault="00B52F9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2F97" w:rsidRPr="00B52F97" w:rsidRDefault="00B52F97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B52F97">
              <w:rPr>
                <w:rFonts w:ascii="Times New Roman" w:hAnsi="Times New Roman" w:cs="Times New Roman"/>
                <w:u w:val="single"/>
              </w:rPr>
              <w:t xml:space="preserve">Efekt: </w:t>
            </w:r>
          </w:p>
          <w:p w:rsidR="00B52F97" w:rsidRDefault="00B52F9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Poinformowanie potencjalnych wnioskodawców </w:t>
            </w:r>
            <w:r w:rsidR="00E3211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obowiązkach komunikacyjnych beneficjentów EFSI</w:t>
            </w:r>
          </w:p>
          <w:p w:rsidR="00514F12" w:rsidRPr="006B5C1C" w:rsidRDefault="00514F12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F63" w:rsidRPr="006B5C1C" w:rsidRDefault="00B52F97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F63" w:rsidRPr="006B5C1C" w:rsidRDefault="00B52F9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 oglądalności strony LGD</w:t>
            </w:r>
          </w:p>
        </w:tc>
      </w:tr>
      <w:tr w:rsidR="001A33D7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14F12" w:rsidRPr="006B5C1C" w:rsidRDefault="00514F12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CA5258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211A" w:rsidRPr="006B5C1C" w:rsidRDefault="00514F12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potencjalnych wnioskodawcó</w:t>
            </w:r>
            <w:r w:rsidR="00EF5680">
              <w:rPr>
                <w:rFonts w:ascii="Times New Roman" w:hAnsi="Times New Roman" w:cs="Times New Roman"/>
              </w:rPr>
              <w:t>w o LGD i LSR (gł</w:t>
            </w:r>
            <w:r w:rsidR="001A33D7">
              <w:rPr>
                <w:rFonts w:ascii="Times New Roman" w:hAnsi="Times New Roman" w:cs="Times New Roman"/>
              </w:rPr>
              <w:t>ó</w:t>
            </w:r>
            <w:r w:rsidR="00EF5680">
              <w:rPr>
                <w:rFonts w:ascii="Times New Roman" w:hAnsi="Times New Roman" w:cs="Times New Roman"/>
              </w:rPr>
              <w:t>wnych celach, zasadach przyznawania dofinansowania oraz stosowanych procedurach)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211A" w:rsidRDefault="00EF5680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Kampania informacyjna na temat głównych założeń LSR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211A" w:rsidRDefault="00EF5680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Potencjalni wnioskodawcy, w szczególności rolnicy, jsfp, przedsiębiorcy, organizacja pozarządowe i mieszkańcy obszaru LGD, w tym także przedstawiciele grup osób w niekorzystnej sytuacji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211A" w:rsidRDefault="00EF5680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Informacje na oficjalnej stronie internetowej LGD</w:t>
            </w:r>
          </w:p>
          <w:p w:rsidR="00EF5680" w:rsidRDefault="00EF5680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Mailing oraz strony internetowe gmin członkowskich</w:t>
            </w:r>
          </w:p>
          <w:p w:rsidR="00EF5680" w:rsidRDefault="001A33D7" w:rsidP="001A33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="00EF5680">
              <w:rPr>
                <w:rFonts w:ascii="Times New Roman" w:hAnsi="Times New Roman" w:cs="Times New Roman"/>
              </w:rPr>
              <w:t>nformacje na portalach społ</w:t>
            </w:r>
            <w:r>
              <w:rPr>
                <w:rFonts w:ascii="Times New Roman" w:hAnsi="Times New Roman" w:cs="Times New Roman"/>
              </w:rPr>
              <w:t>e</w:t>
            </w:r>
            <w:r w:rsidR="00EF5680">
              <w:rPr>
                <w:rFonts w:ascii="Times New Roman" w:hAnsi="Times New Roman" w:cs="Times New Roman"/>
              </w:rPr>
              <w:t>cznościowych</w:t>
            </w:r>
            <w:r>
              <w:rPr>
                <w:rFonts w:ascii="Times New Roman" w:hAnsi="Times New Roman" w:cs="Times New Roman"/>
              </w:rPr>
              <w:t xml:space="preserve"> – fanpage LGD oraz w mediach o zasięgu lokalnym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211A" w:rsidRDefault="001A33D7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33D7">
              <w:rPr>
                <w:rFonts w:ascii="Times New Roman" w:hAnsi="Times New Roman" w:cs="Times New Roman"/>
              </w:rPr>
              <w:t>Artykuły na stronach internetowych i portalach społecznościowych (ilość: 24 szt.)</w:t>
            </w:r>
          </w:p>
          <w:p w:rsid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w mediach o zasięgu lokalnym (ilość: 3 szt.)</w:t>
            </w:r>
          </w:p>
          <w:p w:rsid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Wysyłanie informacji pocztą elektroniczną (ilość: 10 szt.)</w:t>
            </w:r>
          </w:p>
          <w:p w:rsid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33D7" w:rsidRPr="00B1389C" w:rsidRDefault="001A33D7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B1389C">
              <w:rPr>
                <w:rFonts w:ascii="Times New Roman" w:hAnsi="Times New Roman" w:cs="Times New Roman"/>
                <w:u w:val="single"/>
              </w:rPr>
              <w:t>Efekt:</w:t>
            </w:r>
          </w:p>
          <w:p w:rsidR="001A33D7" w:rsidRPr="001A33D7" w:rsidRDefault="001A33D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Poinformowanie potencjalnych wnioskodawców o LGD </w:t>
            </w:r>
            <w:r w:rsidR="00EB54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LSR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211A" w:rsidRDefault="00B1389C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1 133,00, </w:t>
            </w:r>
            <w:r>
              <w:rPr>
                <w:rFonts w:ascii="Times New Roman" w:hAnsi="Times New Roman" w:cs="Times New Roman"/>
              </w:rPr>
              <w:br/>
              <w:t>w tym:</w:t>
            </w:r>
          </w:p>
          <w:p w:rsidR="00B1389C" w:rsidRDefault="00B1389C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 – EFRROW, 217,00 – EFRR, 276,00 – EFS+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211A" w:rsidRDefault="00B1389C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</w:t>
            </w:r>
            <w:r w:rsidR="003A51E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ring oglądalności </w:t>
            </w:r>
            <w:r w:rsidR="003A51E1">
              <w:rPr>
                <w:rFonts w:ascii="Times New Roman" w:hAnsi="Times New Roman" w:cs="Times New Roman"/>
              </w:rPr>
              <w:t xml:space="preserve">strony LGD, ankieta prowadzona na www lub w biurze LGD badająca, skąd osoba zainteresowana pozyskała wiedzę </w:t>
            </w:r>
            <w:r w:rsidR="003A51E1">
              <w:rPr>
                <w:rFonts w:ascii="Times New Roman" w:hAnsi="Times New Roman" w:cs="Times New Roman"/>
              </w:rPr>
              <w:br/>
              <w:t>o LGD</w:t>
            </w:r>
          </w:p>
        </w:tc>
      </w:tr>
      <w:tr w:rsidR="003A51E1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A51E1" w:rsidRPr="006B5C1C" w:rsidRDefault="003A51E1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3A51E1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E1" w:rsidRDefault="003A51E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potencjalnych wnioskodawców o zasadach pozyskiwania środków, kryteriach oceny używanych przez Radę i zasadach realizacji projektów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E1" w:rsidRDefault="003A51E1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informacyjno-szkoleniowe dotyczące przygotowania, realizacji i rozliczenia operacji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E1" w:rsidRDefault="003A51E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potencjalni wnioskodawcy</w:t>
            </w:r>
            <w:r w:rsidR="006E4543">
              <w:rPr>
                <w:rFonts w:ascii="Times New Roman" w:hAnsi="Times New Roman" w:cs="Times New Roman"/>
              </w:rPr>
              <w:t>, w szczególności rolnicy, przedsiębiorcy, organizacje pozarządowe, mieszkańcy obszaru, jsfp, grupy osób w niekorzystnej sytuacji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E1" w:rsidRDefault="006E4543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Spotkania informacyjno-szkoleniowe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E1" w:rsidRDefault="006E4543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6E4543" w:rsidRPr="00C34658" w:rsidRDefault="006E4543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4658">
              <w:rPr>
                <w:rFonts w:ascii="Times New Roman" w:hAnsi="Times New Roman" w:cs="Times New Roman"/>
              </w:rPr>
              <w:t>Organizacja spotkań informacyjno-szkoleniowych (ilość</w:t>
            </w:r>
            <w:r w:rsidR="00331086">
              <w:rPr>
                <w:rFonts w:ascii="Times New Roman" w:hAnsi="Times New Roman" w:cs="Times New Roman"/>
              </w:rPr>
              <w:t>:</w:t>
            </w:r>
            <w:r w:rsidRPr="00C34658">
              <w:rPr>
                <w:rFonts w:ascii="Times New Roman" w:hAnsi="Times New Roman" w:cs="Times New Roman"/>
              </w:rPr>
              <w:t xml:space="preserve"> 16 szt.), w tym minimum 1 spotkanie przed każdym naborem wniosków</w:t>
            </w:r>
          </w:p>
          <w:p w:rsidR="006E4543" w:rsidRDefault="006E4543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6E4543" w:rsidRDefault="006E4543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Efekt:</w:t>
            </w:r>
          </w:p>
          <w:p w:rsidR="006E4543" w:rsidRDefault="006E4543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4658">
              <w:rPr>
                <w:rFonts w:ascii="Times New Roman" w:hAnsi="Times New Roman" w:cs="Times New Roman"/>
              </w:rPr>
              <w:t>Podniesienie poziomu wiedzy mieszkańców w zakresie przygotowania, realizacji i rozliczenia operacji</w:t>
            </w:r>
          </w:p>
          <w:p w:rsidR="00503A27" w:rsidRDefault="00503A2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56885" w:rsidRDefault="00556885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03A27" w:rsidRPr="00C34658" w:rsidRDefault="00503A2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658" w:rsidRDefault="00C34658" w:rsidP="00C346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3 397,00, </w:t>
            </w:r>
            <w:r>
              <w:rPr>
                <w:rFonts w:ascii="Times New Roman" w:hAnsi="Times New Roman" w:cs="Times New Roman"/>
              </w:rPr>
              <w:br/>
              <w:t>w tym:</w:t>
            </w:r>
          </w:p>
          <w:p w:rsidR="003A51E1" w:rsidRDefault="00C34658" w:rsidP="00C346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1 921,00 – EFRROW, 738,00 – EFRR, 738,00 – EFS+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1E1" w:rsidRDefault="00C346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zwrotna w formie ankiety prowadzonej po spotkaniach informacyjno-szkoleniowych</w:t>
            </w:r>
          </w:p>
        </w:tc>
      </w:tr>
      <w:tr w:rsidR="00503A27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03A27" w:rsidRPr="006B5C1C" w:rsidRDefault="00503A27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C34658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4658" w:rsidRDefault="00C346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Wspieranie beneficjentów LSR w realizacji projektów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4658" w:rsidRDefault="00C34658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Informowanie na temat warunków </w:t>
            </w:r>
            <w:r w:rsidR="005B43B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sposobów realizacji i rozliczania projektów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4658" w:rsidRDefault="00C346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Beneficjenci oraz wnioskodawcy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4658" w:rsidRDefault="00C346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Doradztwo indywidualne/</w:t>
            </w:r>
            <w:r>
              <w:rPr>
                <w:rFonts w:ascii="Times New Roman" w:hAnsi="Times New Roman" w:cs="Times New Roman"/>
              </w:rPr>
              <w:br/>
              <w:t>szkolenia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4658" w:rsidRDefault="00C34658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C34658" w:rsidRPr="00503A27" w:rsidRDefault="00C346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3A27">
              <w:rPr>
                <w:rFonts w:ascii="Times New Roman" w:hAnsi="Times New Roman" w:cs="Times New Roman"/>
              </w:rPr>
              <w:t>Liczba osób</w:t>
            </w:r>
            <w:r w:rsidR="00503A27" w:rsidRPr="00503A27">
              <w:rPr>
                <w:rFonts w:ascii="Times New Roman" w:hAnsi="Times New Roman" w:cs="Times New Roman"/>
              </w:rPr>
              <w:t>, którym udzielono doradztwa na podstawie ewidencji udzielonego doradztwa (ilość:4</w:t>
            </w:r>
            <w:r w:rsidR="006E7DF1">
              <w:rPr>
                <w:rFonts w:ascii="Times New Roman" w:hAnsi="Times New Roman" w:cs="Times New Roman"/>
              </w:rPr>
              <w:t>0 osób)/Liczba szkoleń (ilość: 4</w:t>
            </w:r>
            <w:r w:rsidR="00503A27" w:rsidRPr="00503A27">
              <w:rPr>
                <w:rFonts w:ascii="Times New Roman" w:hAnsi="Times New Roman" w:cs="Times New Roman"/>
              </w:rPr>
              <w:t xml:space="preserve"> szt.)</w:t>
            </w:r>
          </w:p>
          <w:p w:rsidR="00503A27" w:rsidRDefault="00503A27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503A27" w:rsidRDefault="00503A27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Efekt:</w:t>
            </w:r>
          </w:p>
          <w:p w:rsidR="00503A27" w:rsidRDefault="00503A2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3A27">
              <w:rPr>
                <w:rFonts w:ascii="Times New Roman" w:hAnsi="Times New Roman" w:cs="Times New Roman"/>
              </w:rPr>
              <w:t xml:space="preserve">Podniesienie wiedzy mieszkańców nt. warunków </w:t>
            </w:r>
            <w:r w:rsidR="005B43B9">
              <w:rPr>
                <w:rFonts w:ascii="Times New Roman" w:hAnsi="Times New Roman" w:cs="Times New Roman"/>
              </w:rPr>
              <w:br/>
            </w:r>
            <w:r w:rsidRPr="00503A27">
              <w:rPr>
                <w:rFonts w:ascii="Times New Roman" w:hAnsi="Times New Roman" w:cs="Times New Roman"/>
              </w:rPr>
              <w:t xml:space="preserve">i sposobów realizacji </w:t>
            </w:r>
            <w:r w:rsidR="005B43B9">
              <w:rPr>
                <w:rFonts w:ascii="Times New Roman" w:hAnsi="Times New Roman" w:cs="Times New Roman"/>
              </w:rPr>
              <w:br/>
            </w:r>
            <w:r w:rsidRPr="00503A27">
              <w:rPr>
                <w:rFonts w:ascii="Times New Roman" w:hAnsi="Times New Roman" w:cs="Times New Roman"/>
              </w:rPr>
              <w:t>i rozliczania projektów</w:t>
            </w:r>
          </w:p>
          <w:p w:rsidR="00CA5258" w:rsidRDefault="00CA52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A5258" w:rsidRDefault="00CA52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A5258" w:rsidRDefault="00CA52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56885" w:rsidRDefault="00556885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A5258" w:rsidRPr="00503A27" w:rsidRDefault="00CA52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34658" w:rsidRDefault="00503A27" w:rsidP="00C346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4658" w:rsidRDefault="00503A27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Ewidencja udzielonego doradztwa/Ankieta po przeprowadzonym szkoleniu</w:t>
            </w:r>
          </w:p>
        </w:tc>
      </w:tr>
      <w:tr w:rsidR="00CA5258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CA5258" w:rsidRPr="006B5C1C" w:rsidRDefault="00CA5258" w:rsidP="00CA52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5B43B9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3B9" w:rsidRDefault="005B43B9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potencjalnych wnioskodawców o naborach wniosków i możliwości realizacji operacji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3B9" w:rsidRDefault="005B43B9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Kampania informacyjna na temat terminów przyjmowanych wniosków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3B9" w:rsidRDefault="005B43B9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Potencjalni wnioskodawcy – </w:t>
            </w:r>
            <w:r>
              <w:rPr>
                <w:rFonts w:ascii="Times New Roman" w:hAnsi="Times New Roman" w:cs="Times New Roman"/>
              </w:rPr>
              <w:br/>
              <w:t>w zależności od naboru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3B9" w:rsidRDefault="005B43B9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Informacje na oficjalnej stronie internetowej LGD</w:t>
            </w:r>
          </w:p>
          <w:p w:rsidR="005B43B9" w:rsidRDefault="005B43B9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Mailing oraz strony internetowe gmin członkowskich</w:t>
            </w:r>
          </w:p>
          <w:p w:rsidR="005B43B9" w:rsidRDefault="005B43B9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Informacje na portalach spo</w:t>
            </w:r>
            <w:r w:rsidR="00CA5258">
              <w:rPr>
                <w:rFonts w:ascii="Times New Roman" w:hAnsi="Times New Roman" w:cs="Times New Roman"/>
              </w:rPr>
              <w:t>łe</w:t>
            </w:r>
            <w:r>
              <w:rPr>
                <w:rFonts w:ascii="Times New Roman" w:hAnsi="Times New Roman" w:cs="Times New Roman"/>
              </w:rPr>
              <w:t>cznościowych – fanpage LGD</w:t>
            </w:r>
            <w:r w:rsidR="00CA5258">
              <w:rPr>
                <w:rFonts w:ascii="Times New Roman" w:hAnsi="Times New Roman" w:cs="Times New Roman"/>
              </w:rPr>
              <w:t xml:space="preserve"> oraz w mediach o zasięgu lokalnym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3B9" w:rsidRDefault="00CA5258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CA5258" w:rsidRPr="00556885" w:rsidRDefault="00CA52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6885">
              <w:rPr>
                <w:rFonts w:ascii="Times New Roman" w:hAnsi="Times New Roman" w:cs="Times New Roman"/>
              </w:rPr>
              <w:t>Artykuły na stronach internetowych (ilość: 24 szt.)</w:t>
            </w:r>
          </w:p>
          <w:p w:rsidR="00CA5258" w:rsidRDefault="00CA5258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CA5258" w:rsidRPr="00556885" w:rsidRDefault="00CA5258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6885">
              <w:rPr>
                <w:rFonts w:ascii="Times New Roman" w:hAnsi="Times New Roman" w:cs="Times New Roman"/>
              </w:rPr>
              <w:t>Informacje na portalach społecznościowych oraz mediach</w:t>
            </w:r>
            <w:r w:rsidR="00556885" w:rsidRPr="00556885">
              <w:rPr>
                <w:rFonts w:ascii="Times New Roman" w:hAnsi="Times New Roman" w:cs="Times New Roman"/>
              </w:rPr>
              <w:t xml:space="preserve"> o zasięgu lokalnym (ilość:</w:t>
            </w:r>
            <w:r w:rsidR="006E7DF1">
              <w:rPr>
                <w:rFonts w:ascii="Times New Roman" w:hAnsi="Times New Roman" w:cs="Times New Roman"/>
              </w:rPr>
              <w:t xml:space="preserve"> 3</w:t>
            </w:r>
            <w:r w:rsidR="00556885" w:rsidRPr="00556885">
              <w:rPr>
                <w:rFonts w:ascii="Times New Roman" w:hAnsi="Times New Roman" w:cs="Times New Roman"/>
              </w:rPr>
              <w:t xml:space="preserve"> szt.)</w:t>
            </w:r>
          </w:p>
          <w:p w:rsidR="00556885" w:rsidRDefault="00556885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556885" w:rsidRPr="00556885" w:rsidRDefault="00556885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6885">
              <w:rPr>
                <w:rFonts w:ascii="Times New Roman" w:hAnsi="Times New Roman" w:cs="Times New Roman"/>
              </w:rPr>
              <w:t>Wysyłanie informacji pocztą elektroniczną (ilość: 10 szt.)</w:t>
            </w:r>
          </w:p>
          <w:p w:rsidR="00556885" w:rsidRDefault="00556885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556885" w:rsidRDefault="00556885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Efekt:</w:t>
            </w:r>
          </w:p>
          <w:p w:rsidR="00556885" w:rsidRPr="00556885" w:rsidRDefault="00556885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6885">
              <w:rPr>
                <w:rFonts w:ascii="Times New Roman" w:hAnsi="Times New Roman" w:cs="Times New Roman"/>
              </w:rPr>
              <w:t>Poinformowanie potencjalnych wnioskodawców o naborach wniosków i możliwości realizacji operacji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885" w:rsidRDefault="005C135A" w:rsidP="00556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1 350</w:t>
            </w:r>
            <w:r w:rsidR="00556885">
              <w:rPr>
                <w:rFonts w:ascii="Times New Roman" w:hAnsi="Times New Roman" w:cs="Times New Roman"/>
              </w:rPr>
              <w:t xml:space="preserve">,00, </w:t>
            </w:r>
            <w:r w:rsidR="00556885">
              <w:rPr>
                <w:rFonts w:ascii="Times New Roman" w:hAnsi="Times New Roman" w:cs="Times New Roman"/>
              </w:rPr>
              <w:br/>
              <w:t>w tym:</w:t>
            </w:r>
          </w:p>
          <w:p w:rsidR="005B43B9" w:rsidRDefault="005C135A" w:rsidP="005C13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556885">
              <w:rPr>
                <w:rFonts w:ascii="Times New Roman" w:hAnsi="Times New Roman" w:cs="Times New Roman"/>
              </w:rPr>
              <w:t xml:space="preserve">,00 – EFRROW, </w:t>
            </w:r>
            <w:r>
              <w:rPr>
                <w:rFonts w:ascii="Times New Roman" w:hAnsi="Times New Roman" w:cs="Times New Roman"/>
              </w:rPr>
              <w:br/>
              <w:t>350,00 – EFRR, 450</w:t>
            </w:r>
            <w:r w:rsidR="00556885">
              <w:rPr>
                <w:rFonts w:ascii="Times New Roman" w:hAnsi="Times New Roman" w:cs="Times New Roman"/>
              </w:rPr>
              <w:t>,00 – EFS+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3B9" w:rsidRDefault="005C135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zwrotna dotycząca ilości złożonych wniosków o dofinansowanie na poszczególne przedsięwzięcia oraz ilości udzielonego doradztwa</w:t>
            </w:r>
          </w:p>
        </w:tc>
      </w:tr>
      <w:tr w:rsidR="005C135A" w:rsidRPr="006B5C1C" w:rsidTr="000D0078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5C135A" w:rsidRPr="006B5C1C" w:rsidRDefault="005C135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5C135A" w:rsidRPr="006B5C1C" w:rsidTr="00EA2F10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135A" w:rsidRDefault="005C135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Pozyskanie informacji zwrotnej dotyczącej oceny jakości doradztwa świadczonego przez LGD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135A" w:rsidRDefault="00A550A2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Badanie satysfakcji wnioskodawców </w:t>
            </w:r>
            <w:r w:rsidR="0033108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beneficjentów dot. jakości doradztwa świadczonego przez LGD na etapie </w:t>
            </w:r>
            <w:r w:rsidR="00576EA1">
              <w:rPr>
                <w:rFonts w:ascii="Times New Roman" w:hAnsi="Times New Roman" w:cs="Times New Roman"/>
              </w:rPr>
              <w:t xml:space="preserve">przygotowania wniosków </w:t>
            </w:r>
            <w:r w:rsidR="00331086">
              <w:rPr>
                <w:rFonts w:ascii="Times New Roman" w:hAnsi="Times New Roman" w:cs="Times New Roman"/>
              </w:rPr>
              <w:br/>
            </w:r>
            <w:r w:rsidR="00576EA1">
              <w:rPr>
                <w:rFonts w:ascii="Times New Roman" w:hAnsi="Times New Roman" w:cs="Times New Roman"/>
              </w:rPr>
              <w:t xml:space="preserve">o wsparcie projektowanych działań oraz </w:t>
            </w:r>
            <w:r w:rsidR="00331086">
              <w:rPr>
                <w:rFonts w:ascii="Times New Roman" w:hAnsi="Times New Roman" w:cs="Times New Roman"/>
              </w:rPr>
              <w:br/>
            </w:r>
            <w:r w:rsidR="00576EA1">
              <w:rPr>
                <w:rFonts w:ascii="Times New Roman" w:hAnsi="Times New Roman" w:cs="Times New Roman"/>
              </w:rPr>
              <w:t>o rozliczenie realizowanych operacji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135A" w:rsidRDefault="00576EA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Wnioskodawcy </w:t>
            </w:r>
            <w:r w:rsidR="0033108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beneficjenci </w:t>
            </w:r>
            <w:r w:rsidR="0033108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poszczególnych zakresach operacji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135A" w:rsidRDefault="00576EA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Ankieta wypełniana po doradztwie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135A" w:rsidRDefault="00576EA1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576EA1" w:rsidRPr="00576EA1" w:rsidRDefault="00576EA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6EA1">
              <w:rPr>
                <w:rFonts w:ascii="Times New Roman" w:hAnsi="Times New Roman" w:cs="Times New Roman"/>
              </w:rPr>
              <w:t>Ankieta dystrybuowana wśród wnioskodawców i beneficjentów (ilość: 40 szt.)</w:t>
            </w:r>
          </w:p>
          <w:p w:rsidR="00576EA1" w:rsidRDefault="00576EA1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576EA1" w:rsidRDefault="00576EA1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Efekt:</w:t>
            </w:r>
          </w:p>
          <w:p w:rsidR="00576EA1" w:rsidRDefault="00576EA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6EA1">
              <w:rPr>
                <w:rFonts w:ascii="Times New Roman" w:hAnsi="Times New Roman" w:cs="Times New Roman"/>
              </w:rPr>
              <w:t>Uzyskanie zewnętrznej wiedzy na temat jakości doradztwa w celu. Np. dodatkowego przeszkolenia osób udzielających doradztwa, doskonalenia umiejętności komunikacyjnych</w:t>
            </w:r>
          </w:p>
          <w:p w:rsidR="00E747EA" w:rsidRDefault="00E747E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747EA" w:rsidRDefault="00E747E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747EA" w:rsidRDefault="00E747E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747EA" w:rsidRPr="00576EA1" w:rsidRDefault="00E747E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135A" w:rsidRDefault="00576EA1" w:rsidP="005568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135A" w:rsidRDefault="00576EA1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Badanie ankietowe</w:t>
            </w:r>
          </w:p>
        </w:tc>
      </w:tr>
      <w:tr w:rsidR="00E747EA" w:rsidRPr="006B5C1C" w:rsidTr="000D0078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 komunikacji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komunikacyjnego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Adresaci działania komunikacyjnego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(grupy docelowe)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Narzędzia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środki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przekazu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Zakładane wskaźniki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realizacji działania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efekty tych działań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Budżet 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(w EUR)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E747EA" w:rsidRPr="006B5C1C" w:rsidRDefault="00E747EA" w:rsidP="000D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C">
              <w:rPr>
                <w:rFonts w:ascii="Times New Roman" w:hAnsi="Times New Roman" w:cs="Times New Roman"/>
                <w:b/>
                <w:sz w:val="24"/>
                <w:szCs w:val="24"/>
              </w:rPr>
              <w:t>Badanie efektywności działań komunikacyjnych</w:t>
            </w:r>
          </w:p>
        </w:tc>
      </w:tr>
      <w:tr w:rsidR="00576EA1" w:rsidRPr="006B5C1C" w:rsidTr="00556885"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7DF1" w:rsidRDefault="00EA2F10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mieszkańców o efektach realizacji LSR w całym okresie programowania</w:t>
            </w: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P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6E7DF1" w:rsidRDefault="006E7DF1" w:rsidP="006E7DF1">
            <w:pPr>
              <w:rPr>
                <w:rFonts w:ascii="Times New Roman" w:hAnsi="Times New Roman" w:cs="Times New Roman"/>
              </w:rPr>
            </w:pPr>
          </w:p>
          <w:p w:rsidR="00576EA1" w:rsidRPr="006E7DF1" w:rsidRDefault="00576EA1" w:rsidP="006E7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EA1" w:rsidRDefault="00EA2F10" w:rsidP="00E321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Kampania informacyjna LGD nt. głównych efektów LSR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EA1" w:rsidRDefault="00EA2F10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Mieszkańcy obszaru LGD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EA1" w:rsidRDefault="00EA2F10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Informacje na oficjalnej stronie</w:t>
            </w:r>
            <w:r w:rsidR="00820D46">
              <w:rPr>
                <w:rFonts w:ascii="Times New Roman" w:hAnsi="Times New Roman" w:cs="Times New Roman"/>
              </w:rPr>
              <w:t xml:space="preserve"> LGD</w:t>
            </w:r>
          </w:p>
          <w:p w:rsidR="00820D46" w:rsidRDefault="00820D46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Mailing oraz strony internetowe gmin członkowskich</w:t>
            </w:r>
          </w:p>
          <w:p w:rsidR="00820D46" w:rsidRDefault="00820D46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Informacje na portalu społecznościowym LGD oraz w mediach o zasięgu lokalnym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EA1" w:rsidRDefault="00820D46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Wskaźnik:</w:t>
            </w:r>
          </w:p>
          <w:p w:rsidR="00820D46" w:rsidRPr="00E747EA" w:rsidRDefault="00820D46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47EA">
              <w:rPr>
                <w:rFonts w:ascii="Times New Roman" w:hAnsi="Times New Roman" w:cs="Times New Roman"/>
              </w:rPr>
              <w:t>Artykuły na stronach internetowych (ilość:</w:t>
            </w:r>
            <w:r w:rsidR="00A94B1A">
              <w:rPr>
                <w:rFonts w:ascii="Times New Roman" w:hAnsi="Times New Roman" w:cs="Times New Roman"/>
              </w:rPr>
              <w:t xml:space="preserve"> 16</w:t>
            </w:r>
            <w:r w:rsidRPr="00E747EA">
              <w:rPr>
                <w:rFonts w:ascii="Times New Roman" w:hAnsi="Times New Roman" w:cs="Times New Roman"/>
              </w:rPr>
              <w:t xml:space="preserve"> szt.)</w:t>
            </w:r>
          </w:p>
          <w:p w:rsidR="00820D46" w:rsidRDefault="00820D46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820D46" w:rsidRPr="00E747EA" w:rsidRDefault="00820D46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47EA">
              <w:rPr>
                <w:rFonts w:ascii="Times New Roman" w:hAnsi="Times New Roman" w:cs="Times New Roman"/>
              </w:rPr>
              <w:t xml:space="preserve">Informacja na portalach społecznościowych oraz </w:t>
            </w:r>
            <w:r w:rsidR="00A94B1A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E747EA">
              <w:rPr>
                <w:rFonts w:ascii="Times New Roman" w:hAnsi="Times New Roman" w:cs="Times New Roman"/>
              </w:rPr>
              <w:t>w mediach o zasięgu lokalnym (ilość:</w:t>
            </w:r>
            <w:r w:rsidR="00A94B1A">
              <w:rPr>
                <w:rFonts w:ascii="Times New Roman" w:hAnsi="Times New Roman" w:cs="Times New Roman"/>
              </w:rPr>
              <w:t xml:space="preserve"> 3</w:t>
            </w:r>
            <w:r w:rsidRPr="00E747EA">
              <w:rPr>
                <w:rFonts w:ascii="Times New Roman" w:hAnsi="Times New Roman" w:cs="Times New Roman"/>
              </w:rPr>
              <w:t xml:space="preserve"> szt.)</w:t>
            </w:r>
          </w:p>
          <w:p w:rsidR="00820D46" w:rsidRDefault="00820D46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820D46" w:rsidRPr="00E747EA" w:rsidRDefault="00820D46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47EA">
              <w:rPr>
                <w:rFonts w:ascii="Times New Roman" w:hAnsi="Times New Roman" w:cs="Times New Roman"/>
              </w:rPr>
              <w:t>Wysłanie informacji poczta elektroniczną (ilość: 10 szt.)</w:t>
            </w:r>
          </w:p>
          <w:p w:rsidR="00820D46" w:rsidRDefault="00820D46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820D46" w:rsidRDefault="00820D46" w:rsidP="00E3211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Efekt:</w:t>
            </w:r>
          </w:p>
          <w:p w:rsidR="00820D46" w:rsidRPr="00E747EA" w:rsidRDefault="00820D46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47EA">
              <w:rPr>
                <w:rFonts w:ascii="Times New Roman" w:hAnsi="Times New Roman" w:cs="Times New Roman"/>
              </w:rPr>
              <w:t>Poinformowanie potencjalnych wnioskodawców o efektach realizacji LSR w całym okresie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7EA" w:rsidRDefault="00E747EA" w:rsidP="00E747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 xml:space="preserve">,00, </w:t>
            </w:r>
            <w:r>
              <w:rPr>
                <w:rFonts w:ascii="Times New Roman" w:hAnsi="Times New Roman" w:cs="Times New Roman"/>
              </w:rPr>
              <w:br/>
              <w:t>w tym:</w:t>
            </w:r>
          </w:p>
          <w:p w:rsidR="00576EA1" w:rsidRDefault="00E747EA" w:rsidP="00E747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  <w:r>
              <w:rPr>
                <w:rFonts w:ascii="Times New Roman" w:hAnsi="Times New Roman" w:cs="Times New Roman"/>
              </w:rPr>
              <w:t xml:space="preserve">,00 – EFRROW,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– EFRR, 176</w:t>
            </w:r>
            <w:r>
              <w:rPr>
                <w:rFonts w:ascii="Times New Roman" w:hAnsi="Times New Roman" w:cs="Times New Roman"/>
              </w:rPr>
              <w:t>,00 – EFS+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EA1" w:rsidRDefault="00E747EA" w:rsidP="00E32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Monitoring oglądalności strony </w:t>
            </w:r>
            <w:r>
              <w:rPr>
                <w:rFonts w:ascii="Times New Roman" w:hAnsi="Times New Roman" w:cs="Times New Roman"/>
              </w:rPr>
              <w:br/>
              <w:t>i lokalnych mediów</w:t>
            </w:r>
          </w:p>
        </w:tc>
      </w:tr>
    </w:tbl>
    <w:p w:rsidR="00A91ED1" w:rsidRPr="00A91ED1" w:rsidRDefault="00A91ED1" w:rsidP="00E747EA">
      <w:pPr>
        <w:spacing w:after="0" w:line="360" w:lineRule="auto"/>
        <w:ind w:right="-882"/>
        <w:jc w:val="both"/>
        <w:rPr>
          <w:rFonts w:ascii="Times New Roman" w:hAnsi="Times New Roman" w:cs="Times New Roman"/>
          <w:sz w:val="24"/>
          <w:szCs w:val="24"/>
        </w:rPr>
      </w:pPr>
    </w:p>
    <w:sectPr w:rsidR="00A91ED1" w:rsidRPr="00A91ED1" w:rsidSect="006E7DF1">
      <w:pgSz w:w="16838" w:h="11906" w:orient="landscape"/>
      <w:pgMar w:top="1418" w:right="53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D2" w:rsidRDefault="005E5AD2" w:rsidP="00F44298">
      <w:pPr>
        <w:spacing w:after="0" w:line="240" w:lineRule="auto"/>
      </w:pPr>
      <w:r>
        <w:separator/>
      </w:r>
    </w:p>
  </w:endnote>
  <w:endnote w:type="continuationSeparator" w:id="0">
    <w:p w:rsidR="005E5AD2" w:rsidRDefault="005E5AD2" w:rsidP="00F4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635531"/>
      <w:docPartObj>
        <w:docPartGallery w:val="Page Numbers (Bottom of Page)"/>
        <w:docPartUnique/>
      </w:docPartObj>
    </w:sdtPr>
    <w:sdtContent>
      <w:p w:rsidR="00CA5258" w:rsidRDefault="00CA52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10">
          <w:rPr>
            <w:noProof/>
          </w:rPr>
          <w:t>12</w:t>
        </w:r>
        <w:r>
          <w:fldChar w:fldCharType="end"/>
        </w:r>
      </w:p>
    </w:sdtContent>
  </w:sdt>
  <w:p w:rsidR="00CA5258" w:rsidRDefault="00CA5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D2" w:rsidRDefault="005E5AD2" w:rsidP="00F44298">
      <w:pPr>
        <w:spacing w:after="0" w:line="240" w:lineRule="auto"/>
      </w:pPr>
      <w:r>
        <w:separator/>
      </w:r>
    </w:p>
  </w:footnote>
  <w:footnote w:type="continuationSeparator" w:id="0">
    <w:p w:rsidR="005E5AD2" w:rsidRDefault="005E5AD2" w:rsidP="00F4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58" w:rsidRDefault="00CA525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6.1pt;margin-top:-42.05pt;width:599.85pt;height:94.35pt;z-index:251659264;mso-position-horizontal-relative:text;mso-position-vertical-relative:text">
          <v:imagedata r:id="rId1" o:title="listwa log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7615B5F"/>
    <w:multiLevelType w:val="hybridMultilevel"/>
    <w:tmpl w:val="46349FC0"/>
    <w:lvl w:ilvl="0" w:tplc="EB84A8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3E779C"/>
    <w:multiLevelType w:val="hybridMultilevel"/>
    <w:tmpl w:val="B0C02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97956"/>
    <w:multiLevelType w:val="hybridMultilevel"/>
    <w:tmpl w:val="6A2C7094"/>
    <w:lvl w:ilvl="0" w:tplc="EB84A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F1ADB"/>
    <w:multiLevelType w:val="hybridMultilevel"/>
    <w:tmpl w:val="5B04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98"/>
    <w:rsid w:val="00060A37"/>
    <w:rsid w:val="001A33D7"/>
    <w:rsid w:val="001A45EA"/>
    <w:rsid w:val="00303DBE"/>
    <w:rsid w:val="00331086"/>
    <w:rsid w:val="003965B2"/>
    <w:rsid w:val="003A51E1"/>
    <w:rsid w:val="00476A9B"/>
    <w:rsid w:val="00503A27"/>
    <w:rsid w:val="00514F12"/>
    <w:rsid w:val="00555B96"/>
    <w:rsid w:val="00556885"/>
    <w:rsid w:val="00576EA1"/>
    <w:rsid w:val="00584BDB"/>
    <w:rsid w:val="005B43B9"/>
    <w:rsid w:val="005C135A"/>
    <w:rsid w:val="005E5AD2"/>
    <w:rsid w:val="006B5C1C"/>
    <w:rsid w:val="006E4543"/>
    <w:rsid w:val="006E7DF1"/>
    <w:rsid w:val="006F2EAA"/>
    <w:rsid w:val="0070751C"/>
    <w:rsid w:val="007630BE"/>
    <w:rsid w:val="00820D46"/>
    <w:rsid w:val="00941DA6"/>
    <w:rsid w:val="00A550A2"/>
    <w:rsid w:val="00A66655"/>
    <w:rsid w:val="00A91ED1"/>
    <w:rsid w:val="00A94B1A"/>
    <w:rsid w:val="00B1389C"/>
    <w:rsid w:val="00B52F97"/>
    <w:rsid w:val="00C04E85"/>
    <w:rsid w:val="00C1390D"/>
    <w:rsid w:val="00C34658"/>
    <w:rsid w:val="00CA5258"/>
    <w:rsid w:val="00D02D3A"/>
    <w:rsid w:val="00D173F2"/>
    <w:rsid w:val="00DF4310"/>
    <w:rsid w:val="00E3211A"/>
    <w:rsid w:val="00E747EA"/>
    <w:rsid w:val="00EA1F63"/>
    <w:rsid w:val="00EA2F10"/>
    <w:rsid w:val="00EB5407"/>
    <w:rsid w:val="00EF5680"/>
    <w:rsid w:val="00F44298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87F806-F2E4-461D-B206-B6C60C5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298"/>
  </w:style>
  <w:style w:type="paragraph" w:styleId="Stopka">
    <w:name w:val="footer"/>
    <w:basedOn w:val="Normalny"/>
    <w:link w:val="StopkaZnak"/>
    <w:uiPriority w:val="99"/>
    <w:unhideWhenUsed/>
    <w:rsid w:val="00F4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298"/>
  </w:style>
  <w:style w:type="paragraph" w:styleId="Akapitzlist">
    <w:name w:val="List Paragraph"/>
    <w:basedOn w:val="Normalny"/>
    <w:uiPriority w:val="34"/>
    <w:qFormat/>
    <w:rsid w:val="00A91E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5EA"/>
    <w:rPr>
      <w:vertAlign w:val="superscript"/>
    </w:rPr>
  </w:style>
  <w:style w:type="table" w:styleId="Tabela-Siatka">
    <w:name w:val="Table Grid"/>
    <w:basedOn w:val="Standardowy"/>
    <w:uiPriority w:val="39"/>
    <w:rsid w:val="00EA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2024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2</cp:revision>
  <cp:lastPrinted>2025-02-19T09:59:00Z</cp:lastPrinted>
  <dcterms:created xsi:type="dcterms:W3CDTF">2025-02-19T10:11:00Z</dcterms:created>
  <dcterms:modified xsi:type="dcterms:W3CDTF">2025-02-19T10:11:00Z</dcterms:modified>
</cp:coreProperties>
</file>